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文书3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</w:t>
      </w:r>
      <w:bookmarkStart w:id="0" w:name="_Hlk2781038"/>
      <w:r>
        <w:rPr>
          <w:rFonts w:hint="eastAsia" w:ascii="仿宋" w:hAnsi="仿宋" w:eastAsia="仿宋"/>
          <w:b/>
          <w:sz w:val="32"/>
          <w:szCs w:val="32"/>
        </w:rPr>
        <w:t>税务师事务所</w:t>
      </w:r>
      <w:bookmarkEnd w:id="0"/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延长鉴定时限告知书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（编号）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×××（委托人）：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贵单位委托我税务师事务所的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鉴定一案，我事务所已受理（编号：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）并开展了相关鉴定工作，现由于××××××××（原因）无法在规定的时限内完成该鉴定，根据《司法鉴定程序通则》第二十八条的规定，经我事务所负责人批准，需延长鉴定时限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日，至×年×月×日。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联系人：×××；联系电话：×××。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特此告知。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×××税务师事务所（公章）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×年×月×日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22073"/>
    <w:rsid w:val="2EB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2019-08-12T07:26:00Z</dcterms:created>
  <dc:creator>惊鸿一瞥1421720961</dc:creator>
  <cp:lastModifiedBy>惊鸿一瞥1421720961</cp:lastModifiedBy>
  <dcterms:modified xsi:type="dcterms:W3CDTF">2019-08-12T07:27:02Z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